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71" w:rsidRPr="00781171" w:rsidRDefault="00781171" w:rsidP="00781171">
      <w:pPr>
        <w:widowControl/>
        <w:spacing w:before="100" w:beforeAutospacing="1" w:after="100" w:afterAutospacing="1"/>
        <w:ind w:left="0"/>
        <w:jc w:val="center"/>
        <w:outlineLvl w:val="0"/>
        <w:rPr>
          <w:rFonts w:ascii="宋体" w:hAnsi="宋体" w:cs="宋体"/>
          <w:b/>
          <w:bCs/>
          <w:kern w:val="36"/>
          <w:sz w:val="48"/>
          <w:szCs w:val="48"/>
        </w:rPr>
      </w:pPr>
      <w:r w:rsidRPr="00781171">
        <w:rPr>
          <w:rFonts w:ascii="宋体" w:hAnsi="宋体" w:cs="宋体"/>
          <w:b/>
          <w:bCs/>
          <w:kern w:val="36"/>
          <w:sz w:val="48"/>
          <w:szCs w:val="48"/>
        </w:rPr>
        <w:t>欧盟包装指令(94/62/EC)简介</w:t>
      </w:r>
    </w:p>
    <w:p w:rsidR="00781171" w:rsidRPr="00781171" w:rsidRDefault="00781171" w:rsidP="00781171">
      <w:pPr>
        <w:widowControl/>
        <w:ind w:left="0"/>
        <w:jc w:val="center"/>
        <w:rPr>
          <w:rFonts w:ascii="宋体" w:hAnsi="宋体" w:cs="宋体"/>
          <w:kern w:val="0"/>
          <w:sz w:val="24"/>
        </w:rPr>
      </w:pPr>
      <w:r w:rsidRPr="00781171">
        <w:rPr>
          <w:rFonts w:ascii="宋体" w:hAnsi="宋体" w:cs="宋体"/>
          <w:kern w:val="0"/>
          <w:sz w:val="24"/>
        </w:rPr>
        <w:t>(2010/09/05 19:47)</w:t>
      </w:r>
    </w:p>
    <w:tbl>
      <w:tblPr>
        <w:tblW w:w="5000" w:type="pct"/>
        <w:jc w:val="center"/>
        <w:tblCellSpacing w:w="15" w:type="dxa"/>
        <w:tblCellMar>
          <w:top w:w="15" w:type="dxa"/>
          <w:left w:w="15" w:type="dxa"/>
          <w:bottom w:w="15" w:type="dxa"/>
          <w:right w:w="15" w:type="dxa"/>
        </w:tblCellMar>
        <w:tblLook w:val="04A0"/>
      </w:tblPr>
      <w:tblGrid>
        <w:gridCol w:w="10862"/>
      </w:tblGrid>
      <w:tr w:rsidR="00781171" w:rsidRPr="00781171" w:rsidTr="00781171">
        <w:trPr>
          <w:tblCellSpacing w:w="15" w:type="dxa"/>
          <w:jc w:val="center"/>
        </w:trPr>
        <w:tc>
          <w:tcPr>
            <w:tcW w:w="0" w:type="auto"/>
            <w:vAlign w:val="center"/>
            <w:hideMark/>
          </w:tcPr>
          <w:p w:rsidR="00781171" w:rsidRPr="00781171" w:rsidRDefault="00781171" w:rsidP="00781171">
            <w:pPr>
              <w:widowControl/>
              <w:ind w:left="0"/>
              <w:jc w:val="left"/>
              <w:rPr>
                <w:rFonts w:ascii="宋体" w:hAnsi="宋体" w:cs="宋体"/>
                <w:kern w:val="0"/>
                <w:sz w:val="24"/>
              </w:rPr>
            </w:pPr>
            <w:r w:rsidRPr="00781171">
              <w:rPr>
                <w:rFonts w:ascii="宋体" w:hAnsi="宋体" w:cs="宋体"/>
                <w:kern w:val="0"/>
                <w:sz w:val="24"/>
              </w:rPr>
              <w:t xml:space="preserve">目录： </w:t>
            </w:r>
            <w:hyperlink r:id="rId4" w:tgtFrame="_blank" w:history="1">
              <w:r w:rsidRPr="00781171">
                <w:rPr>
                  <w:rFonts w:ascii="宋体" w:hAnsi="宋体" w:cs="宋体"/>
                  <w:color w:val="0000FF"/>
                  <w:kern w:val="0"/>
                  <w:sz w:val="24"/>
                  <w:u w:val="single"/>
                </w:rPr>
                <w:t>行业资讯</w:t>
              </w:r>
            </w:hyperlink>
            <w:r w:rsidRPr="00781171">
              <w:rPr>
                <w:rFonts w:ascii="宋体" w:hAnsi="宋体" w:cs="宋体"/>
                <w:kern w:val="0"/>
                <w:sz w:val="24"/>
              </w:rPr>
              <w:t xml:space="preserve"> </w:t>
            </w:r>
            <w:r>
              <w:rPr>
                <w:rFonts w:ascii="宋体" w:hAnsi="宋体" w:cs="宋体"/>
                <w:noProof/>
                <w:color w:val="0000FF"/>
                <w:kern w:val="0"/>
                <w:sz w:val="24"/>
              </w:rPr>
              <w:drawing>
                <wp:inline distT="0" distB="0" distL="0" distR="0">
                  <wp:extent cx="752475" cy="190500"/>
                  <wp:effectExtent l="19050" t="0" r="9525" b="0"/>
                  <wp:docPr id="1" name="图片 1" descr="http://i03.c.aliimg.com/news/upload/!angel/add-2_1244794907118.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3.c.aliimg.com/news/upload/!angel/add-2_1244794907118.png">
                            <a:hlinkClick r:id="rId5" tgtFrame="_blank"/>
                          </pic:cNvPr>
                          <pic:cNvPicPr>
                            <a:picLocks noChangeAspect="1" noChangeArrowheads="1"/>
                          </pic:cNvPicPr>
                        </pic:nvPicPr>
                        <pic:blipFill>
                          <a:blip r:embed="rId6"/>
                          <a:srcRect/>
                          <a:stretch>
                            <a:fillRect/>
                          </a:stretch>
                        </pic:blipFill>
                        <pic:spPr bwMode="auto">
                          <a:xfrm>
                            <a:off x="0" y="0"/>
                            <a:ext cx="752475" cy="190500"/>
                          </a:xfrm>
                          <a:prstGeom prst="rect">
                            <a:avLst/>
                          </a:prstGeom>
                          <a:noFill/>
                          <a:ln w="9525">
                            <a:noFill/>
                            <a:miter lim="800000"/>
                            <a:headEnd/>
                            <a:tailEnd/>
                          </a:ln>
                        </pic:spPr>
                      </pic:pic>
                    </a:graphicData>
                  </a:graphic>
                </wp:inline>
              </w:drawing>
            </w:r>
            <w:r>
              <w:rPr>
                <w:rFonts w:ascii="宋体" w:hAnsi="宋体" w:cs="宋体"/>
                <w:noProof/>
                <w:color w:val="0000FF"/>
                <w:kern w:val="0"/>
                <w:sz w:val="24"/>
              </w:rPr>
              <w:drawing>
                <wp:inline distT="0" distB="0" distL="0" distR="0">
                  <wp:extent cx="600075" cy="190500"/>
                  <wp:effectExtent l="19050" t="0" r="9525" b="0"/>
                  <wp:docPr id="2" name="图片 2" descr="http://i02.c.aliimg.com/cms/upload/2011/895/002/200598_82374234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02.c.aliimg.com/cms/upload/2011/895/002/200598_823742341.png">
                            <a:hlinkClick r:id="rId7"/>
                          </pic:cNvPr>
                          <pic:cNvPicPr>
                            <a:picLocks noChangeAspect="1" noChangeArrowheads="1"/>
                          </pic:cNvPicPr>
                        </pic:nvPicPr>
                        <pic:blipFill>
                          <a:blip r:embed="rId8"/>
                          <a:srcRect/>
                          <a:stretch>
                            <a:fillRect/>
                          </a:stretch>
                        </pic:blipFill>
                        <pic:spPr bwMode="auto">
                          <a:xfrm>
                            <a:off x="0" y="0"/>
                            <a:ext cx="600075" cy="190500"/>
                          </a:xfrm>
                          <a:prstGeom prst="rect">
                            <a:avLst/>
                          </a:prstGeom>
                          <a:noFill/>
                          <a:ln w="9525">
                            <a:noFill/>
                            <a:miter lim="800000"/>
                            <a:headEnd/>
                            <a:tailEnd/>
                          </a:ln>
                        </pic:spPr>
                      </pic:pic>
                    </a:graphicData>
                  </a:graphic>
                </wp:inline>
              </w:drawing>
            </w:r>
          </w:p>
        </w:tc>
      </w:tr>
    </w:tbl>
    <w:p w:rsidR="00781171" w:rsidRPr="00781171" w:rsidRDefault="00781171" w:rsidP="00781171">
      <w:pPr>
        <w:widowControl/>
        <w:ind w:left="0"/>
        <w:jc w:val="right"/>
        <w:rPr>
          <w:rFonts w:ascii="宋体" w:hAnsi="宋体" w:cs="宋体"/>
          <w:kern w:val="0"/>
          <w:sz w:val="18"/>
          <w:szCs w:val="18"/>
        </w:rPr>
      </w:pPr>
      <w:r w:rsidRPr="00781171">
        <w:rPr>
          <w:rFonts w:ascii="宋体" w:hAnsi="宋体" w:cs="宋体"/>
          <w:kern w:val="0"/>
          <w:sz w:val="18"/>
          <w:szCs w:val="18"/>
        </w:rPr>
        <w:t>浏览字体：</w:t>
      </w:r>
      <w:hyperlink r:id="rId9" w:history="1">
        <w:r w:rsidRPr="00781171">
          <w:rPr>
            <w:rFonts w:ascii="宋体" w:hAnsi="宋体" w:cs="宋体"/>
            <w:color w:val="0000FF"/>
            <w:kern w:val="0"/>
            <w:sz w:val="18"/>
            <w:u w:val="single"/>
          </w:rPr>
          <w:t>大</w:t>
        </w:r>
      </w:hyperlink>
      <w:r w:rsidRPr="00781171">
        <w:rPr>
          <w:rFonts w:ascii="宋体" w:hAnsi="宋体" w:cs="宋体"/>
          <w:kern w:val="0"/>
          <w:sz w:val="18"/>
          <w:szCs w:val="18"/>
        </w:rPr>
        <w:t xml:space="preserve">　</w:t>
      </w:r>
      <w:hyperlink r:id="rId10" w:history="1">
        <w:r w:rsidRPr="00781171">
          <w:rPr>
            <w:rFonts w:ascii="宋体" w:hAnsi="宋体" w:cs="宋体"/>
            <w:color w:val="0000FF"/>
            <w:kern w:val="0"/>
            <w:sz w:val="18"/>
            <w:u w:val="single"/>
          </w:rPr>
          <w:t>中</w:t>
        </w:r>
      </w:hyperlink>
      <w:r w:rsidRPr="00781171">
        <w:rPr>
          <w:rFonts w:ascii="宋体" w:hAnsi="宋体" w:cs="宋体"/>
          <w:kern w:val="0"/>
          <w:sz w:val="18"/>
          <w:szCs w:val="18"/>
        </w:rPr>
        <w:t xml:space="preserve">　</w:t>
      </w:r>
      <w:hyperlink r:id="rId11" w:history="1">
        <w:r w:rsidRPr="00781171">
          <w:rPr>
            <w:rFonts w:ascii="宋体" w:hAnsi="宋体" w:cs="宋体"/>
            <w:color w:val="0000FF"/>
            <w:kern w:val="0"/>
            <w:sz w:val="18"/>
            <w:u w:val="single"/>
          </w:rPr>
          <w:t>小</w:t>
        </w:r>
      </w:hyperlink>
    </w:p>
    <w:p w:rsidR="00781171" w:rsidRPr="00781171" w:rsidRDefault="00781171" w:rsidP="00781171">
      <w:pPr>
        <w:widowControl/>
        <w:ind w:left="0"/>
        <w:jc w:val="left"/>
        <w:rPr>
          <w:rFonts w:ascii="宋体" w:hAnsi="宋体" w:cs="宋体"/>
          <w:kern w:val="0"/>
          <w:sz w:val="24"/>
        </w:rPr>
      </w:pPr>
      <w:r w:rsidRPr="00781171">
        <w:rPr>
          <w:rFonts w:ascii="宋体" w:hAnsi="宋体" w:cs="宋体"/>
          <w:kern w:val="0"/>
          <w:sz w:val="24"/>
        </w:rPr>
        <w:t>现在的塑料软包装企业使用的油墨和胶水，提供的SGS检测报告，不符合包装材料的检测标准，不是选用的玩具、就是电子电器的检测标准。</w:t>
      </w:r>
      <w:r w:rsidRPr="00781171">
        <w:rPr>
          <w:rFonts w:ascii="宋体" w:hAnsi="宋体" w:cs="宋体"/>
          <w:kern w:val="0"/>
          <w:sz w:val="24"/>
        </w:rPr>
        <w:br/>
        <w:t>适合我们包装的检测标准是：94/62/EC</w:t>
      </w:r>
      <w:r w:rsidRPr="00781171">
        <w:rPr>
          <w:rFonts w:ascii="宋体" w:hAnsi="宋体" w:cs="宋体"/>
          <w:kern w:val="0"/>
          <w:sz w:val="24"/>
        </w:rPr>
        <w:br/>
        <w:t>现将收集相关内容转发给一直关心支持本论坛的网友</w:t>
      </w:r>
      <w:r w:rsidRPr="00781171">
        <w:rPr>
          <w:rFonts w:ascii="宋体" w:hAnsi="宋体" w:cs="宋体"/>
          <w:kern w:val="0"/>
          <w:sz w:val="24"/>
        </w:rPr>
        <w:br/>
        <w:t>欧盟包装指令(94/62/EC)简介</w:t>
      </w:r>
      <w:r w:rsidRPr="00781171">
        <w:rPr>
          <w:rFonts w:ascii="宋体" w:hAnsi="宋体" w:cs="宋体"/>
          <w:kern w:val="0"/>
          <w:sz w:val="24"/>
        </w:rPr>
        <w:br/>
        <w:t>1. 欧盟法规的形式</w:t>
      </w:r>
      <w:r w:rsidRPr="00781171">
        <w:rPr>
          <w:rFonts w:ascii="宋体" w:hAnsi="宋体" w:cs="宋体"/>
          <w:kern w:val="0"/>
          <w:sz w:val="24"/>
        </w:rPr>
        <w:br/>
        <w:t>        欧盟法规的形式为：规章（Regulations）、指令（Directives）、决定（Decisions）、 建议和意见（Recommendations and advice），其中建议和意见没有约束力。</w:t>
      </w:r>
      <w:r w:rsidRPr="00781171">
        <w:rPr>
          <w:rFonts w:ascii="宋体" w:hAnsi="宋体" w:cs="宋体"/>
          <w:kern w:val="0"/>
          <w:sz w:val="24"/>
        </w:rPr>
        <w:br/>
        <w:t xml:space="preserve">        本章介绍的法规主要是指令。指令对所有成员国有约束力。指令仅要求成员国达到指令所要求的目标，而实施指令的方式和 措施由成员国机构各自作出选择。指令是对成员国发布的。指令通常是由欧洲议会（THE EUROPEAN PARLIAMENT）和欧盟理事会（THE COUNCILOF THE EUROPEAN UNION）根据欧共体条约赋予的职责颁布的。欧盟正在筹划制订宪法，目前欧共体条约相当于欧盟宪法。 </w:t>
      </w:r>
      <w:r w:rsidRPr="00781171">
        <w:rPr>
          <w:rFonts w:ascii="宋体" w:hAnsi="宋体" w:cs="宋体"/>
          <w:kern w:val="0"/>
          <w:sz w:val="24"/>
        </w:rPr>
        <w:br/>
        <w:t>2 欧盟指令的内容和特点</w:t>
      </w:r>
      <w:r w:rsidRPr="00781171">
        <w:rPr>
          <w:rFonts w:ascii="宋体" w:hAnsi="宋体" w:cs="宋体"/>
          <w:kern w:val="0"/>
          <w:sz w:val="24"/>
        </w:rPr>
        <w:br/>
        <w:t>      欧盟指令规定基本要求，是技术性法规。</w:t>
      </w:r>
      <w:r w:rsidRPr="00781171">
        <w:rPr>
          <w:rFonts w:ascii="宋体" w:hAnsi="宋体" w:cs="宋体"/>
          <w:kern w:val="0"/>
          <w:sz w:val="24"/>
        </w:rPr>
        <w:br/>
        <w:t>      基本要求（essential requirement）</w:t>
      </w:r>
      <w:r w:rsidRPr="00781171">
        <w:rPr>
          <w:rFonts w:ascii="宋体" w:hAnsi="宋体" w:cs="宋体"/>
          <w:kern w:val="0"/>
          <w:sz w:val="24"/>
        </w:rPr>
        <w:br/>
        <w:t>      基本要求规定了保护公众利益的基本要素；</w:t>
      </w:r>
      <w:r w:rsidRPr="00781171">
        <w:rPr>
          <w:rFonts w:ascii="宋体" w:hAnsi="宋体" w:cs="宋体"/>
          <w:kern w:val="0"/>
          <w:sz w:val="24"/>
        </w:rPr>
        <w:br/>
        <w:t>      基本要求是强制性的，只有满足基本要求的产品方可投放市场和交付使用；</w:t>
      </w:r>
      <w:r w:rsidRPr="00781171">
        <w:rPr>
          <w:rFonts w:ascii="宋体" w:hAnsi="宋体" w:cs="宋体"/>
          <w:kern w:val="0"/>
          <w:sz w:val="24"/>
        </w:rPr>
        <w:br/>
        <w:t xml:space="preserve">      基本要求主要是指产品在生命、环境和国家安全、消费者利益和能源消耗方面的要求。仅就主要技术内容而言，欧盟指令相 当于我国的强制性国家标准。所不同的是，欧盟指令涉及税收，规定制造商、供应商、进口商和***作者等的责任，提及消费者的义务等， 而我国的强制性国家标准通常不涉及这些内容。出口欧盟商品的包装，应首先了解欧盟针对包装的指令中的基本要求： </w:t>
      </w:r>
      <w:r w:rsidRPr="00781171">
        <w:rPr>
          <w:rFonts w:ascii="宋体" w:hAnsi="宋体" w:cs="宋体"/>
          <w:kern w:val="0"/>
          <w:sz w:val="24"/>
        </w:rPr>
        <w:br/>
        <w:t>      WTO 成员国之间有关基本要求的技术文件是互相公开的，我国标准中可对应基本要求的术语为：必达要求（exclusive requirement）；</w:t>
      </w:r>
      <w:r w:rsidRPr="00781171">
        <w:rPr>
          <w:rFonts w:ascii="宋体" w:hAnsi="宋体" w:cs="宋体"/>
          <w:kern w:val="0"/>
          <w:sz w:val="24"/>
        </w:rPr>
        <w:br/>
        <w:t xml:space="preserve">      基本要求是市场准入的第一道技术门槛，跨越这道门槛才有资格参与市场竞争。 </w:t>
      </w:r>
      <w:r w:rsidRPr="00781171">
        <w:rPr>
          <w:rFonts w:ascii="宋体" w:hAnsi="宋体" w:cs="宋体"/>
          <w:kern w:val="0"/>
          <w:sz w:val="24"/>
        </w:rPr>
        <w:br/>
        <w:t>      2.1 94/62/EC 包装和包装废弃物</w:t>
      </w:r>
      <w:r w:rsidRPr="00781171">
        <w:rPr>
          <w:rFonts w:ascii="宋体" w:hAnsi="宋体" w:cs="宋体"/>
          <w:kern w:val="0"/>
          <w:sz w:val="24"/>
        </w:rPr>
        <w:br/>
        <w:t xml:space="preserve">      指令94/62/EC 是基于环境与生命安全，能源与资源合理利用的要求，对全部的包装和包装材料、包装的管理、设计、生产、流通、使用和消费等所有环 节提出相应的要求和应达到的目标。技术内容涉及包装与环境、包装与生命安全、包装与能源和资源的利用。特别应关注的是，基于这些 要求和目标，派生出具体的技术措施。另外，具体的实施还有相关的指令、协调标准及合格评定制度。 </w:t>
      </w:r>
      <w:r w:rsidRPr="00781171">
        <w:rPr>
          <w:rFonts w:ascii="宋体" w:hAnsi="宋体" w:cs="宋体"/>
          <w:kern w:val="0"/>
          <w:sz w:val="24"/>
        </w:rPr>
        <w:br/>
        <w:t xml:space="preserve">      指令94/62/EC 已于1997 年付诸全面实施。但就其中的包装材料的回收率，欧盟某些成员国持有异议，比如对饮料瓶的重复使用或一次性使用的环保性、经济性、 可行性和安全性的评估等存在分歧。2004 年2 月11 日欧盟颁布了对94/62/EC 的修正案2004/12/EC，其中规定整体回收率60%，再循环率55%。另外规定具体的再循环率：玻璃60%、纸和纸板60 %、金属50%、塑料25%、木材15%。重金属浓度指标未改变。 </w:t>
      </w:r>
      <w:r w:rsidRPr="00781171">
        <w:rPr>
          <w:rFonts w:ascii="宋体" w:hAnsi="宋体" w:cs="宋体"/>
          <w:kern w:val="0"/>
          <w:sz w:val="24"/>
        </w:rPr>
        <w:br/>
        <w:t>      指令94/62/EC 第十一款规定的有害重金属含量最大允许极限为100 mg/kg，其目的在于保护地下水源和土壤。实施范围涵盖全部的包装和包装材料。</w:t>
      </w:r>
      <w:r w:rsidRPr="00781171">
        <w:rPr>
          <w:rFonts w:ascii="宋体" w:hAnsi="宋体" w:cs="宋体"/>
          <w:kern w:val="0"/>
          <w:sz w:val="24"/>
        </w:rPr>
        <w:br/>
        <w:t>      金属回收冶炼形成的炉渣、玻璃回收熔化形成的废渣、复合材料和某些不易作为资源回收利用的</w:t>
      </w:r>
      <w:r w:rsidRPr="00781171">
        <w:rPr>
          <w:rFonts w:ascii="宋体" w:hAnsi="宋体" w:cs="宋体"/>
          <w:kern w:val="0"/>
          <w:sz w:val="24"/>
        </w:rPr>
        <w:lastRenderedPageBreak/>
        <w:t>纸和塑料、以能源回收的形式焚烧形成的 残渣等最终填埋后，有害物质将通过渗滤对地下水源造成污染。</w:t>
      </w:r>
      <w:r w:rsidRPr="00781171">
        <w:rPr>
          <w:rFonts w:ascii="宋体" w:hAnsi="宋体" w:cs="宋体"/>
          <w:kern w:val="0"/>
          <w:sz w:val="24"/>
        </w:rPr>
        <w:br/>
        <w:t>      需氧或厌氧生物降解处理后得到的堆肥与土壤相关。特别应注意的是，不要轻言使用的包装材料可降解，欧共体对土壤和土壤改良另有法 规，在EN 13432 中引用了相关法规。</w:t>
      </w:r>
      <w:r w:rsidRPr="00781171">
        <w:rPr>
          <w:rFonts w:ascii="宋体" w:hAnsi="宋体" w:cs="宋体"/>
          <w:kern w:val="0"/>
          <w:sz w:val="24"/>
        </w:rPr>
        <w:br/>
        <w:t>      指令94/62/EC 附录A（规范性附录）给出了包装材料和所有的包装允许的最大元素含量的规定，并且要求受检物质的重量按50%的残存无机矿物质（ 不可降解的）计量。详见附录17。</w:t>
      </w:r>
      <w:r w:rsidRPr="00781171">
        <w:rPr>
          <w:rFonts w:ascii="宋体" w:hAnsi="宋体" w:cs="宋体"/>
          <w:kern w:val="0"/>
          <w:sz w:val="24"/>
        </w:rPr>
        <w:br/>
        <w:t>      指令94/62/EC 主要分两部分内容，既：包装和包装废弃物含有害于环境的物质的限制以及降低资源消耗的措施。以下介绍的两个与指令94/62/E C 有关的法规，可了解该指令的效应，诠释欧洲人特称的"统一的欧洲共同市场"。</w:t>
      </w:r>
      <w:r w:rsidRPr="00781171">
        <w:rPr>
          <w:rFonts w:ascii="宋体" w:hAnsi="宋体" w:cs="宋体"/>
          <w:kern w:val="0"/>
          <w:sz w:val="24"/>
        </w:rPr>
        <w:br/>
        <w:t xml:space="preserve">      特别提醒：指令94/62/EC 第十一款规定的有害重金属含量最大允许极限为100 mg/kg，是对每件包装的基本要求，应理解为是底线的或最低的要求，但并非是唯一的要求。 </w:t>
      </w:r>
      <w:r w:rsidRPr="00781171">
        <w:rPr>
          <w:rFonts w:ascii="宋体" w:hAnsi="宋体" w:cs="宋体"/>
          <w:kern w:val="0"/>
          <w:sz w:val="24"/>
        </w:rPr>
        <w:br/>
        <w:t>      2.2 1999/177/EC 关联94／62／EC 指令中规定的重金属含量，对相关的塑料箱和塑料托盘降低要求的委员会决定</w:t>
      </w:r>
      <w:r w:rsidRPr="00781171">
        <w:rPr>
          <w:rFonts w:ascii="宋体" w:hAnsi="宋体" w:cs="宋体"/>
          <w:kern w:val="0"/>
          <w:sz w:val="24"/>
        </w:rPr>
        <w:br/>
        <w:t>      指令94/62/EC 实施后，针对某些产品的可重复使用和可循环再生的特点，即放宽重金属含量限制，同时采取了相应的技术措施。</w:t>
      </w:r>
      <w:r w:rsidRPr="00781171">
        <w:rPr>
          <w:rFonts w:ascii="宋体" w:hAnsi="宋体" w:cs="宋体"/>
          <w:kern w:val="0"/>
          <w:sz w:val="24"/>
        </w:rPr>
        <w:br/>
        <w:t>      在欧盟指令和有关的技术文献中首先倡导重复使用（减少废弃物），其次是可循环再生（资源回收），再次是可回收利用（能源回收）。 塑料包装容器符合以上几个方面的要求。况且，塑料源于石油、天然气和煤，即使一次性的使用，然后焚烧，作为能源回收也被认为是可 接受的。</w:t>
      </w:r>
      <w:r w:rsidRPr="00781171">
        <w:rPr>
          <w:rFonts w:ascii="宋体" w:hAnsi="宋体" w:cs="宋体"/>
          <w:kern w:val="0"/>
          <w:sz w:val="24"/>
        </w:rPr>
        <w:br/>
        <w:t>      在欧盟，由于广泛采用大型焚烧炉处理垃圾，致使塑料包装材料的使用呈现增长的趋势。</w:t>
      </w:r>
      <w:r w:rsidRPr="00781171">
        <w:rPr>
          <w:rFonts w:ascii="宋体" w:hAnsi="宋体" w:cs="宋体"/>
          <w:kern w:val="0"/>
          <w:sz w:val="24"/>
        </w:rPr>
        <w:br/>
        <w:t xml:space="preserve">      2.3 1999/42/EC 关于依据94／62／EC 第6 条、第6 款的规定，批准奥地利采取有关措施的委员会决定 </w:t>
      </w:r>
    </w:p>
    <w:p w:rsidR="00781171" w:rsidRPr="00781171" w:rsidRDefault="00781171" w:rsidP="00781171">
      <w:pPr>
        <w:widowControl/>
        <w:ind w:left="0"/>
        <w:jc w:val="left"/>
        <w:rPr>
          <w:rFonts w:ascii="宋体" w:hAnsi="宋体" w:cs="宋体"/>
          <w:kern w:val="0"/>
          <w:sz w:val="24"/>
        </w:rPr>
      </w:pPr>
      <w:r w:rsidRPr="00781171">
        <w:rPr>
          <w:rFonts w:ascii="宋体" w:hAnsi="宋体" w:cs="宋体"/>
          <w:kern w:val="0"/>
          <w:sz w:val="24"/>
        </w:rPr>
        <w:t>我国与欧盟食品重金属限量标准比对分析</w:t>
      </w:r>
      <w:r w:rsidRPr="00781171">
        <w:rPr>
          <w:rFonts w:ascii="宋体" w:hAnsi="宋体" w:cs="宋体"/>
          <w:kern w:val="0"/>
          <w:sz w:val="24"/>
        </w:rPr>
        <w:br/>
        <w:t>关于食品中重金属限量的标准规定，我国在2005年制定的国家标准GB 2762-2005 食品中污染物限量，对铅、镉、汞、砷、铬、铝、硒在各类食品中的最高限量值进行了规定。</w:t>
      </w:r>
      <w:r w:rsidRPr="00781171">
        <w:rPr>
          <w:rFonts w:ascii="宋体" w:hAnsi="宋体" w:cs="宋体"/>
          <w:kern w:val="0"/>
          <w:sz w:val="24"/>
        </w:rPr>
        <w:br/>
        <w:t>    欧盟2006年颁布的委员会条例(EC) No 1881/2006，制定食品中某些污染物的最高限量（废止了委员会条例（EC）No 466/2001）详细规定了欧盟水产品、谷物、蔬菜、水果、牛奶等食品中铅、镉、汞、锡重金属的限量。2008年欧盟委员会条例(EC) No 629/2008对委员会条例(EC) No 1881/2006进行了修订，调整了铅、镉、汞、锡重金属在各类食品中的含量，尤其在水产品中的含量做了较大调整。</w:t>
      </w:r>
      <w:r w:rsidRPr="00781171">
        <w:rPr>
          <w:rFonts w:ascii="宋体" w:hAnsi="宋体" w:cs="宋体"/>
          <w:kern w:val="0"/>
          <w:sz w:val="24"/>
        </w:rPr>
        <w:br/>
        <w:t>我国与欧盟各类食品中的重金属限量标准比对，具体如下：（以下数据均为2009年最新）</w:t>
      </w:r>
      <w:r w:rsidRPr="00781171">
        <w:rPr>
          <w:rFonts w:ascii="宋体" w:hAnsi="宋体" w:cs="宋体"/>
          <w:kern w:val="0"/>
          <w:sz w:val="24"/>
        </w:rPr>
        <w:br/>
        <w:t>重金属测试，重金属含量</w:t>
      </w:r>
      <w:r w:rsidRPr="00781171">
        <w:rPr>
          <w:rFonts w:ascii="宋体" w:hAnsi="宋体" w:cs="宋体"/>
          <w:kern w:val="0"/>
          <w:sz w:val="24"/>
        </w:rPr>
        <w:br/>
        <w:t>1、    RoHS六项限用物质检测标准测试</w:t>
      </w:r>
      <w:r w:rsidRPr="00781171">
        <w:rPr>
          <w:rFonts w:ascii="宋体" w:hAnsi="宋体" w:cs="宋体"/>
          <w:kern w:val="0"/>
          <w:sz w:val="24"/>
        </w:rPr>
        <w:br/>
        <w:t>欧盟《关于在电子电气设备中限制使用某些有害物质的第2002/95/EC号指令(RoHS指令)，要求从2006年7 月1 日起，各成员国应确保在投放于市场的电子和电气设备中限制使用铅、汞、镉、六价铬、多溴联苯和多溴二苯醚六种有害物质。</w:t>
      </w:r>
      <w:r w:rsidRPr="00781171">
        <w:rPr>
          <w:rFonts w:ascii="宋体" w:hAnsi="宋体" w:cs="宋体"/>
          <w:kern w:val="0"/>
          <w:sz w:val="24"/>
        </w:rPr>
        <w:br/>
        <w:t xml:space="preserve">RoHS中对六种有害物规定的上限浓度： </w:t>
      </w:r>
      <w:r w:rsidRPr="00781171">
        <w:rPr>
          <w:rFonts w:ascii="宋体" w:hAnsi="宋体" w:cs="宋体"/>
          <w:kern w:val="0"/>
          <w:sz w:val="24"/>
        </w:rPr>
        <w:br/>
        <w:t xml:space="preserve">镉Cd：＜100ppm </w:t>
      </w:r>
      <w:r w:rsidRPr="00781171">
        <w:rPr>
          <w:rFonts w:ascii="宋体" w:hAnsi="宋体" w:cs="宋体"/>
          <w:kern w:val="0"/>
          <w:sz w:val="24"/>
        </w:rPr>
        <w:br/>
        <w:t xml:space="preserve">铅Pb：＜1000ppm </w:t>
      </w:r>
      <w:r w:rsidRPr="00781171">
        <w:rPr>
          <w:rFonts w:ascii="宋体" w:hAnsi="宋体" w:cs="宋体"/>
          <w:kern w:val="0"/>
          <w:sz w:val="24"/>
        </w:rPr>
        <w:br/>
        <w:t xml:space="preserve">汞Hg：＜1000ppm </w:t>
      </w:r>
      <w:r w:rsidRPr="00781171">
        <w:rPr>
          <w:rFonts w:ascii="宋体" w:hAnsi="宋体" w:cs="宋体"/>
          <w:kern w:val="0"/>
          <w:sz w:val="24"/>
        </w:rPr>
        <w:br/>
        <w:t>六价铬Cr6+：＜1000ppm</w:t>
      </w:r>
      <w:r w:rsidRPr="00781171">
        <w:rPr>
          <w:rFonts w:ascii="宋体" w:hAnsi="宋体" w:cs="宋体"/>
          <w:kern w:val="0"/>
          <w:sz w:val="24"/>
        </w:rPr>
        <w:br/>
        <w:t>多溴联苯PBBs：＜1000ppm</w:t>
      </w:r>
      <w:r w:rsidRPr="00781171">
        <w:rPr>
          <w:rFonts w:ascii="宋体" w:hAnsi="宋体" w:cs="宋体"/>
          <w:kern w:val="0"/>
          <w:sz w:val="24"/>
        </w:rPr>
        <w:br/>
        <w:t>多溴联笨醚PBDEs：＜1000ppm</w:t>
      </w:r>
      <w:r w:rsidRPr="00781171">
        <w:rPr>
          <w:rFonts w:ascii="宋体" w:hAnsi="宋体" w:cs="宋体"/>
          <w:kern w:val="0"/>
          <w:sz w:val="24"/>
        </w:rPr>
        <w:br/>
        <w:t>2、多环芳烃(PAHs)检测标准测试</w:t>
      </w:r>
      <w:r w:rsidRPr="00781171">
        <w:rPr>
          <w:rFonts w:ascii="宋体" w:hAnsi="宋体" w:cs="宋体"/>
          <w:kern w:val="0"/>
          <w:sz w:val="24"/>
        </w:rPr>
        <w:br/>
        <w:t>欧盟2005/69/EC指令规定直接投放市场的添加油或用于制造轮胎的添加油应符合以下技术参数：苯并吡(BaP)含量不得超过1mg/kg，同时16种PAH的总含量应低于10mg/kg。德国对电动工具等产品也加强</w:t>
      </w:r>
      <w:r w:rsidRPr="00781171">
        <w:rPr>
          <w:rFonts w:ascii="宋体" w:hAnsi="宋体" w:cs="宋体"/>
          <w:kern w:val="0"/>
          <w:sz w:val="24"/>
        </w:rPr>
        <w:lastRenderedPageBreak/>
        <w:t>了</w:t>
      </w:r>
      <w:r w:rsidRPr="00781171">
        <w:rPr>
          <w:rFonts w:ascii="宋体" w:hAnsi="宋体" w:cs="宋体"/>
          <w:kern w:val="0"/>
          <w:sz w:val="24"/>
        </w:rPr>
        <w:br/>
        <w:t>PAHs的管控要求。美国EPA标准还要求对16种PAH进行检测。</w:t>
      </w:r>
      <w:r w:rsidRPr="00781171">
        <w:rPr>
          <w:rFonts w:ascii="宋体" w:hAnsi="宋体" w:cs="宋体"/>
          <w:kern w:val="0"/>
          <w:sz w:val="24"/>
        </w:rPr>
        <w:br/>
        <w:t>3、邻苯二甲酸酯检测标准测试</w:t>
      </w:r>
      <w:r w:rsidRPr="00781171">
        <w:rPr>
          <w:rFonts w:ascii="宋体" w:hAnsi="宋体" w:cs="宋体"/>
          <w:kern w:val="0"/>
          <w:sz w:val="24"/>
        </w:rPr>
        <w:br/>
        <w:t>欧盟第2005/84/EC号指令要求所有玩具或儿童护A理用品的塑料所含的DEHP、DBP、及BBP浓度超过0.1%的不得在欧盟市场出售；对可放进口中的玩具及儿童护理塑料中所含的具另三种邻苯二甲酸盐(DINP、DIDP及DNOP)进行限制，浓度不得超过0.1%。1000PPM</w:t>
      </w:r>
      <w:r w:rsidRPr="00781171">
        <w:rPr>
          <w:rFonts w:ascii="宋体" w:hAnsi="宋体" w:cs="宋体"/>
          <w:kern w:val="0"/>
          <w:sz w:val="24"/>
        </w:rPr>
        <w:br/>
        <w:t>4、玩具EN71-3八大重金属检测ASTMF963测试</w:t>
      </w:r>
      <w:r w:rsidRPr="00781171">
        <w:rPr>
          <w:rFonts w:ascii="宋体" w:hAnsi="宋体" w:cs="宋体"/>
          <w:kern w:val="0"/>
          <w:sz w:val="24"/>
        </w:rPr>
        <w:br/>
        <w:t>EN71-3标准规定了玩具中八种可溶性金属(Cd、Pb、Hg、Cr、Ba、Se、As、Sb)的溶出量限制。ASTMF963和EN71-3八大重金属溶出量测试限量值：</w:t>
      </w:r>
      <w:r w:rsidRPr="00781171">
        <w:rPr>
          <w:rFonts w:ascii="宋体" w:hAnsi="宋体" w:cs="宋体"/>
          <w:kern w:val="0"/>
          <w:sz w:val="24"/>
        </w:rPr>
        <w:br/>
        <w:t xml:space="preserve">Sb 锑 &lt; 60 ppm </w:t>
      </w:r>
      <w:r w:rsidRPr="00781171">
        <w:rPr>
          <w:rFonts w:ascii="宋体" w:hAnsi="宋体" w:cs="宋体"/>
          <w:kern w:val="0"/>
          <w:sz w:val="24"/>
        </w:rPr>
        <w:br/>
        <w:t xml:space="preserve">As 砷&lt; 25 ppm </w:t>
      </w:r>
      <w:r w:rsidRPr="00781171">
        <w:rPr>
          <w:rFonts w:ascii="宋体" w:hAnsi="宋体" w:cs="宋体"/>
          <w:kern w:val="0"/>
          <w:sz w:val="24"/>
        </w:rPr>
        <w:br/>
        <w:t xml:space="preserve">Ba 钡&lt; 1000 ppm </w:t>
      </w:r>
      <w:r w:rsidRPr="00781171">
        <w:rPr>
          <w:rFonts w:ascii="宋体" w:hAnsi="宋体" w:cs="宋体"/>
          <w:kern w:val="0"/>
          <w:sz w:val="24"/>
        </w:rPr>
        <w:br/>
        <w:t xml:space="preserve">Cd 镉&lt; 75 ppm </w:t>
      </w:r>
      <w:r w:rsidRPr="00781171">
        <w:rPr>
          <w:rFonts w:ascii="宋体" w:hAnsi="宋体" w:cs="宋体"/>
          <w:kern w:val="0"/>
          <w:sz w:val="24"/>
        </w:rPr>
        <w:br/>
        <w:t xml:space="preserve">Cr 铬&lt; 60 ppm </w:t>
      </w:r>
      <w:r w:rsidRPr="00781171">
        <w:rPr>
          <w:rFonts w:ascii="宋体" w:hAnsi="宋体" w:cs="宋体"/>
          <w:kern w:val="0"/>
          <w:sz w:val="24"/>
        </w:rPr>
        <w:br/>
        <w:t xml:space="preserve">Pb 铅&lt; 90 ppm </w:t>
      </w:r>
      <w:r w:rsidRPr="00781171">
        <w:rPr>
          <w:rFonts w:ascii="宋体" w:hAnsi="宋体" w:cs="宋体"/>
          <w:kern w:val="0"/>
          <w:sz w:val="24"/>
        </w:rPr>
        <w:br/>
        <w:t xml:space="preserve">Hg 汞&lt; 60 ppm </w:t>
      </w:r>
      <w:r w:rsidRPr="00781171">
        <w:rPr>
          <w:rFonts w:ascii="宋体" w:hAnsi="宋体" w:cs="宋体"/>
          <w:kern w:val="0"/>
          <w:sz w:val="24"/>
        </w:rPr>
        <w:br/>
        <w:t>Se 硒&lt; 500 ppm</w:t>
      </w:r>
      <w:r w:rsidRPr="00781171">
        <w:rPr>
          <w:rFonts w:ascii="宋体" w:hAnsi="宋体" w:cs="宋体"/>
          <w:kern w:val="0"/>
          <w:sz w:val="24"/>
        </w:rPr>
        <w:br/>
        <w:t>5、包装材料重金属检测标准指令测试</w:t>
      </w:r>
      <w:r w:rsidRPr="00781171">
        <w:rPr>
          <w:rFonts w:ascii="宋体" w:hAnsi="宋体" w:cs="宋体"/>
          <w:kern w:val="0"/>
          <w:sz w:val="24"/>
        </w:rPr>
        <w:br/>
        <w:t>94/62/EC指令要求所有流通于欧洲市场的包装及其材料中的镉、铅、汞及六价铬四种物质含量总和不得超过100ppm。6、电池指令重金属检测</w:t>
      </w:r>
      <w:r w:rsidRPr="00781171">
        <w:rPr>
          <w:rFonts w:ascii="宋体" w:hAnsi="宋体" w:cs="宋体"/>
          <w:kern w:val="0"/>
          <w:sz w:val="24"/>
        </w:rPr>
        <w:br/>
        <w:t>电池及蓄电池不得含有汞超过总重的0.0005%、镉超过总重0.002%，但钮扣电池的水银含量不得大于2%；另外，若电池、蓄电池及钮扣电池的汞含量超过0.0005%，镉含量超过0.002%，铅含量超过0.004%则须有</w:t>
      </w:r>
      <w:r w:rsidRPr="00781171">
        <w:rPr>
          <w:rFonts w:ascii="宋体" w:hAnsi="宋体" w:cs="宋体"/>
          <w:kern w:val="0"/>
          <w:sz w:val="24"/>
        </w:rPr>
        <w:br/>
        <w:t xml:space="preserve">重金属含量及分类处理之标示。这些要求规定于2006/66/EC。 </w:t>
      </w:r>
      <w:r w:rsidRPr="00781171">
        <w:rPr>
          <w:rFonts w:ascii="宋体" w:hAnsi="宋体" w:cs="宋体"/>
          <w:kern w:val="0"/>
          <w:sz w:val="24"/>
        </w:rPr>
        <w:br/>
        <w:t>7、无卤素(F.Cl.Br.I)检测标准测试</w:t>
      </w:r>
      <w:r w:rsidRPr="00781171">
        <w:rPr>
          <w:rFonts w:ascii="宋体" w:hAnsi="宋体" w:cs="宋体"/>
          <w:kern w:val="0"/>
          <w:sz w:val="24"/>
        </w:rPr>
        <w:br/>
        <w:t>卤素(F.Cl.Br.I)检测，氯+溴含量不超过1500PPM，测试方法EN14582 method B六个工作日出检测报告无卤要求：溴、氯含量分别小于 900ppm ，(溴＋氯)小于 1500ppm 。</w:t>
      </w:r>
      <w:r w:rsidRPr="00781171">
        <w:rPr>
          <w:rFonts w:ascii="宋体" w:hAnsi="宋体" w:cs="宋体"/>
          <w:kern w:val="0"/>
          <w:sz w:val="24"/>
        </w:rPr>
        <w:br/>
        <w:t>8. 四溴双酚-A(TBBP-A)标准检测测试指令</w:t>
      </w:r>
      <w:r w:rsidRPr="00781171">
        <w:rPr>
          <w:rFonts w:ascii="宋体" w:hAnsi="宋体" w:cs="宋体"/>
          <w:kern w:val="0"/>
          <w:sz w:val="24"/>
        </w:rPr>
        <w:br/>
        <w:t>要做测试也可以但需要</w:t>
      </w:r>
      <w:r w:rsidRPr="00781171">
        <w:rPr>
          <w:rFonts w:ascii="宋体" w:hAnsi="宋体" w:cs="宋体"/>
          <w:kern w:val="0"/>
          <w:sz w:val="24"/>
        </w:rPr>
        <w:br/>
        <w:t xml:space="preserve">可能存在物质：在印制电路板(PCBs)广泛使用，及塑料，橡胶，纺织品，纤维和纸张，也可作为反应型溴类阻燃剂，用于制备含溴环氧树脂、含溴聚碳酸脂等阻燃树脂，还可作为添加型阻燃剂，用于环氧树脂、ABS、HIPS、AS等。 </w:t>
      </w:r>
      <w:r w:rsidRPr="00781171">
        <w:rPr>
          <w:rFonts w:ascii="宋体" w:hAnsi="宋体" w:cs="宋体"/>
          <w:kern w:val="0"/>
          <w:sz w:val="24"/>
        </w:rPr>
        <w:br/>
        <w:t xml:space="preserve">危害： </w:t>
      </w:r>
      <w:r w:rsidRPr="00781171">
        <w:rPr>
          <w:rFonts w:ascii="宋体" w:hAnsi="宋体" w:cs="宋体"/>
          <w:kern w:val="0"/>
          <w:sz w:val="24"/>
        </w:rPr>
        <w:br/>
        <w:t xml:space="preserve">—长期接触妨碍大脑和骨骼发育； </w:t>
      </w:r>
      <w:r w:rsidRPr="00781171">
        <w:rPr>
          <w:rFonts w:ascii="宋体" w:hAnsi="宋体" w:cs="宋体"/>
          <w:kern w:val="0"/>
          <w:sz w:val="24"/>
        </w:rPr>
        <w:br/>
        <w:t xml:space="preserve">—在被焚化处理时，它会释放出溴化的二恶英和呋 喃致癌； </w:t>
      </w:r>
      <w:r w:rsidRPr="00781171">
        <w:rPr>
          <w:rFonts w:ascii="宋体" w:hAnsi="宋体" w:cs="宋体"/>
          <w:kern w:val="0"/>
          <w:sz w:val="24"/>
        </w:rPr>
        <w:br/>
        <w:t xml:space="preserve">—危害荷尔蒙系统。 </w:t>
      </w:r>
      <w:r w:rsidRPr="00781171">
        <w:rPr>
          <w:rFonts w:ascii="宋体" w:hAnsi="宋体" w:cs="宋体"/>
          <w:kern w:val="0"/>
          <w:sz w:val="24"/>
        </w:rPr>
        <w:br/>
        <w:t xml:space="preserve">处理方法：EPA 3540C：1996&amp;EPA8270:2007 </w:t>
      </w:r>
      <w:r w:rsidRPr="00781171">
        <w:rPr>
          <w:rFonts w:ascii="宋体" w:hAnsi="宋体" w:cs="宋体"/>
          <w:kern w:val="0"/>
          <w:sz w:val="24"/>
        </w:rPr>
        <w:br/>
        <w:t xml:space="preserve">测试方法：EPA 8270C GC-MS </w:t>
      </w:r>
      <w:r w:rsidRPr="00781171">
        <w:rPr>
          <w:rFonts w:ascii="宋体" w:hAnsi="宋体" w:cs="宋体"/>
          <w:kern w:val="0"/>
          <w:sz w:val="24"/>
        </w:rPr>
        <w:br/>
        <w:t xml:space="preserve">DELL: 到2009年所有新的产品不得含有溴类阻燃剂，包括线路板中的TBBPA </w:t>
      </w:r>
      <w:r w:rsidRPr="00781171">
        <w:rPr>
          <w:rFonts w:ascii="宋体" w:hAnsi="宋体" w:cs="宋体"/>
          <w:kern w:val="0"/>
          <w:sz w:val="24"/>
        </w:rPr>
        <w:br/>
        <w:t xml:space="preserve">MOTOROLA :100ppm. </w:t>
      </w:r>
      <w:r w:rsidRPr="00781171">
        <w:rPr>
          <w:rFonts w:ascii="宋体" w:hAnsi="宋体" w:cs="宋体"/>
          <w:kern w:val="0"/>
          <w:sz w:val="24"/>
        </w:rPr>
        <w:br/>
        <w:t>HP : 2007年1月1日对产品外部的塑料中TBBP-A的含量限制不得超过1000ppm，同时对PCB和印刷电路集成板做同样的要求。</w:t>
      </w:r>
      <w:r w:rsidRPr="00781171">
        <w:rPr>
          <w:rFonts w:ascii="宋体" w:hAnsi="宋体" w:cs="宋体"/>
          <w:kern w:val="0"/>
          <w:sz w:val="24"/>
        </w:rPr>
        <w:br/>
        <w:t xml:space="preserve">9. 壬基苯酚(NP)标准检测指令测试 </w:t>
      </w:r>
      <w:r w:rsidRPr="00781171">
        <w:rPr>
          <w:rFonts w:ascii="宋体" w:hAnsi="宋体" w:cs="宋体"/>
          <w:kern w:val="0"/>
          <w:sz w:val="24"/>
        </w:rPr>
        <w:br/>
        <w:t xml:space="preserve">壬基苯酚(NP)　是烷基酚的成员之一，由于其润滑性能，主要用作生产中的清洗剂和表面活性剂。  </w:t>
      </w:r>
      <w:r w:rsidRPr="00781171">
        <w:rPr>
          <w:rFonts w:ascii="宋体" w:hAnsi="宋体" w:cs="宋体"/>
          <w:kern w:val="0"/>
          <w:sz w:val="24"/>
        </w:rPr>
        <w:br/>
      </w:r>
      <w:r w:rsidRPr="00781171">
        <w:rPr>
          <w:rFonts w:ascii="宋体" w:hAnsi="宋体" w:cs="宋体"/>
          <w:kern w:val="0"/>
          <w:sz w:val="24"/>
        </w:rPr>
        <w:lastRenderedPageBreak/>
        <w:t xml:space="preserve">2003年，欧盟指令2003／53／EC正式颁布并要求所有成员国强制执行，包括德国从2005年1月开始正式执行。指令要求壬基苯酚“作为成品或原料，其浓度等于或大于0。1％时，不得在市场上销售或使用”，也就是说，最大允许限制为1000毫克／千克。 </w:t>
      </w:r>
      <w:r w:rsidRPr="00781171">
        <w:rPr>
          <w:rFonts w:ascii="宋体" w:hAnsi="宋体" w:cs="宋体"/>
          <w:kern w:val="0"/>
          <w:sz w:val="24"/>
        </w:rPr>
        <w:br/>
        <w:t>10、.PFOS/PFOA全氟辛烷磺酰基化合物/全氟辛酸铵)检测标准测试</w:t>
      </w:r>
      <w:r w:rsidRPr="00781171">
        <w:rPr>
          <w:rFonts w:ascii="宋体" w:hAnsi="宋体" w:cs="宋体"/>
          <w:kern w:val="0"/>
          <w:sz w:val="24"/>
        </w:rPr>
        <w:br/>
        <w:t>ＰＦＯＳ(全氟辛烷磺酰基化合物)2006/122/EC禁令。</w:t>
      </w:r>
      <w:r w:rsidRPr="00781171">
        <w:rPr>
          <w:rFonts w:ascii="宋体" w:hAnsi="宋体" w:cs="宋体"/>
          <w:kern w:val="0"/>
          <w:sz w:val="24"/>
        </w:rPr>
        <w:br/>
        <w:t>指令规定，欧盟市场上销售以PFOS为构成物质或要素的，若浓度或质量等于或超过0.005%的将不得销售；而在成品和半成品中使用PFOS浓度或质量等于或超过0.1%，则成品、半成品及零件也将被列入禁售范围。这标志着欧盟正式全面禁止ＰＦＯＳ在商品中的使用。</w:t>
      </w:r>
      <w:r w:rsidRPr="00781171">
        <w:rPr>
          <w:rFonts w:ascii="宋体" w:hAnsi="宋体" w:cs="宋体"/>
          <w:kern w:val="0"/>
          <w:sz w:val="24"/>
        </w:rPr>
        <w:br/>
      </w:r>
      <w:r w:rsidRPr="00781171">
        <w:rPr>
          <w:rFonts w:ascii="宋体" w:hAnsi="宋体" w:cs="宋体"/>
          <w:kern w:val="0"/>
          <w:sz w:val="24"/>
        </w:rPr>
        <w:br/>
      </w:r>
      <w:r w:rsidRPr="00781171">
        <w:rPr>
          <w:rFonts w:ascii="宋体" w:hAnsi="宋体" w:cs="宋体"/>
          <w:kern w:val="0"/>
          <w:sz w:val="24"/>
        </w:rPr>
        <w:br/>
        <w:t>包装材料</w:t>
      </w:r>
      <w:r w:rsidRPr="00781171">
        <w:rPr>
          <w:rFonts w:ascii="宋体" w:hAnsi="宋体" w:cs="宋体"/>
          <w:kern w:val="0"/>
          <w:sz w:val="24"/>
        </w:rPr>
        <w:br/>
        <w:t>重金属是指铅、镉、汞、六价铬这几种金属。由于它们及它们的化合物毒性较强，并且在日常生活中经常会遇到，所以，已经日益引起人们的重视。同时，由于它们是一类生物积累的非降解物质，具有可以在大自然（水、土、食物链）中累积下来的特性，一经被人类吸收，人类就无法通过自身的新陈代谢将它们排除体外，日积月累，当累积到一定的量时就会危及到人类的健康。因此，欧盟理事会于1994年12月20日通过了94/62/EC包装法令，并于1996年6月30日开始实施。关于包装和包装材料中含有害重金属铅、镉、汞、六价铬（Pb、Cd、Hg、Cr6+）的限量，包装法令规定：</w:t>
      </w:r>
      <w:r w:rsidRPr="00781171">
        <w:rPr>
          <w:rFonts w:ascii="宋体" w:hAnsi="宋体" w:cs="宋体"/>
          <w:kern w:val="0"/>
          <w:sz w:val="24"/>
        </w:rPr>
        <w:br/>
        <w:t>n 包装法令实施二年后，即1998年6月30日，铅、镉、汞、六价铬总量不超过600mg/kg（600ppm）；</w:t>
      </w:r>
      <w:r w:rsidRPr="00781171">
        <w:rPr>
          <w:rFonts w:ascii="宋体" w:hAnsi="宋体" w:cs="宋体"/>
          <w:kern w:val="0"/>
          <w:sz w:val="24"/>
        </w:rPr>
        <w:br/>
        <w:t>n 包装法令实施三年后，即1999年6月30日，铅、镉、汞、六价铬总量不超过250mg/kg（250ppm）；</w:t>
      </w:r>
      <w:r w:rsidRPr="00781171">
        <w:rPr>
          <w:rFonts w:ascii="宋体" w:hAnsi="宋体" w:cs="宋体"/>
          <w:kern w:val="0"/>
          <w:sz w:val="24"/>
        </w:rPr>
        <w:br/>
        <w:t>n 包装法令实施五年后，即2001年6月30日，铅、镉、汞、六价铬总量不超过100mg/kg（100ppm）。</w:t>
      </w:r>
      <w:r w:rsidRPr="00781171">
        <w:rPr>
          <w:rFonts w:ascii="宋体" w:hAnsi="宋体" w:cs="宋体"/>
          <w:kern w:val="0"/>
          <w:sz w:val="24"/>
        </w:rPr>
        <w:br/>
        <w:t>94/62/EC包装法令除限制上述四种有害金属的含量外，还要求：</w:t>
      </w:r>
      <w:r w:rsidRPr="00781171">
        <w:rPr>
          <w:rFonts w:ascii="宋体" w:hAnsi="宋体" w:cs="宋体"/>
          <w:kern w:val="0"/>
          <w:sz w:val="24"/>
        </w:rPr>
        <w:br/>
        <w:t xml:space="preserve">n </w:t>
      </w:r>
      <w:r w:rsidRPr="00781171">
        <w:rPr>
          <w:rFonts w:ascii="宋体" w:hAnsi="宋体" w:cs="宋体"/>
          <w:kern w:val="0"/>
          <w:sz w:val="24"/>
        </w:rPr>
        <w:br/>
        <w:t>限制包装用的辅料，如：油墨、染料、填充物、内衬物、黏合剂、稳定剂、覆膜的用量，以减少或完全使包装材料不含重金属；鼓励使用水溶性材料，如水溶性油墨等。</w:t>
      </w:r>
      <w:r w:rsidRPr="00781171">
        <w:rPr>
          <w:rFonts w:ascii="宋体" w:hAnsi="宋体" w:cs="宋体"/>
          <w:kern w:val="0"/>
          <w:sz w:val="24"/>
        </w:rPr>
        <w:br/>
        <w:t>n 限制卤素及其它危险物质，限制使用氯漂白的包装材料用于食品包装，等等。</w:t>
      </w:r>
      <w:r w:rsidRPr="00781171">
        <w:rPr>
          <w:rFonts w:ascii="宋体" w:hAnsi="宋体" w:cs="宋体"/>
          <w:kern w:val="0"/>
          <w:sz w:val="24"/>
        </w:rPr>
        <w:br/>
        <w:t>这就意味着进入这些欧盟成员国的包装都要达到上述标准限制。</w:t>
      </w:r>
    </w:p>
    <w:p w:rsidR="00781171" w:rsidRPr="00781171" w:rsidRDefault="00781171" w:rsidP="00781171">
      <w:pPr>
        <w:widowControl/>
        <w:ind w:left="0"/>
        <w:jc w:val="left"/>
        <w:rPr>
          <w:rFonts w:ascii="宋体" w:hAnsi="宋体" w:cs="宋体"/>
          <w:kern w:val="0"/>
          <w:sz w:val="24"/>
        </w:rPr>
      </w:pPr>
      <w:r w:rsidRPr="00781171">
        <w:rPr>
          <w:rFonts w:ascii="宋体" w:hAnsi="宋体" w:cs="宋体"/>
          <w:kern w:val="0"/>
          <w:sz w:val="24"/>
        </w:rPr>
        <w:t>94/62/EC 包装和包装废弃物</w:t>
      </w:r>
      <w:r w:rsidRPr="00781171">
        <w:rPr>
          <w:rFonts w:ascii="宋体" w:hAnsi="宋体" w:cs="宋体"/>
          <w:kern w:val="0"/>
          <w:sz w:val="24"/>
        </w:rPr>
        <w:br/>
        <w:t>94/62/EC 包装和包装废弃物</w:t>
      </w:r>
      <w:r w:rsidRPr="00781171">
        <w:rPr>
          <w:rFonts w:ascii="宋体" w:hAnsi="宋体" w:cs="宋体"/>
          <w:kern w:val="0"/>
          <w:sz w:val="24"/>
        </w:rPr>
        <w:br/>
        <w:t>      指令94/62/EC 是基于环境与生命安全，能源与资源合理利用的要求，对全部的包装和包装材料、包装的管理、设计、生产、流通、使用和消费等所有环节提出相应的要求和应达到的目标。技术内容涉及包装与环境、包装与生命安全、包装与能源和资源的利用。特别应关注的是，基于这些要求和目标，派生出具体的技术措施。另外，具体的实施还有相关的指令、协调标准及合格评定制度。</w:t>
      </w:r>
      <w:r w:rsidRPr="00781171">
        <w:rPr>
          <w:rFonts w:ascii="宋体" w:hAnsi="宋体" w:cs="宋体"/>
          <w:kern w:val="0"/>
          <w:sz w:val="24"/>
        </w:rPr>
        <w:br/>
        <w:t>      指令94/62/EC 已于1997 年付诸全面实施。但就其中的包装材料的回收率，欧盟某些成员国持有异议，比如对饮料瓶的重复使用或一次性使用的环保性、经济性、可行性和安全性的评估等存在分歧。2004 年2 月11 日欧盟颁布了对94/62/EC 的修正案2004/12/EC，其中规定整体回收率60%，再循环率55%。另外规定具体的再循环率：玻璃60%、纸和纸板60%、金属50%、塑料25%、木材15%。重金属浓度指标未改变。</w:t>
      </w:r>
      <w:r w:rsidRPr="00781171">
        <w:rPr>
          <w:rFonts w:ascii="宋体" w:hAnsi="宋体" w:cs="宋体"/>
          <w:kern w:val="0"/>
          <w:sz w:val="24"/>
        </w:rPr>
        <w:br/>
        <w:t>      指令94/62/EC 第十一款规定的有害重金属含量最大允许极限为100 mg/kg，其目的在于保护地下水源和土壤。实施范围涵盖全部的包装和包装材料。</w:t>
      </w:r>
      <w:r w:rsidRPr="00781171">
        <w:rPr>
          <w:rFonts w:ascii="宋体" w:hAnsi="宋体" w:cs="宋体"/>
          <w:kern w:val="0"/>
          <w:sz w:val="24"/>
        </w:rPr>
        <w:br/>
        <w:t>      金属回收冶炼形成的炉渣、玻璃回收熔化形成的废渣、复合材料和某些不易作为资源回收利用的纸和塑料、以能源回收的形式焚烧形成的残渣等最终填埋后，有害物质将通过渗滤对地下水源造成污染。</w:t>
      </w:r>
      <w:r w:rsidRPr="00781171">
        <w:rPr>
          <w:rFonts w:ascii="宋体" w:hAnsi="宋体" w:cs="宋体"/>
          <w:kern w:val="0"/>
          <w:sz w:val="24"/>
        </w:rPr>
        <w:br/>
        <w:t>      需氧或厌氧生物降解处理后得到的堆肥与土壤相关。特别应注意的是，不要轻言使用的包装材料可降解，欧共体对土壤和土壤改良另有法规，在EN 13432 中引用了相关法规。</w:t>
      </w:r>
      <w:r w:rsidRPr="00781171">
        <w:rPr>
          <w:rFonts w:ascii="宋体" w:hAnsi="宋体" w:cs="宋体"/>
          <w:kern w:val="0"/>
          <w:sz w:val="24"/>
        </w:rPr>
        <w:br/>
        <w:t>      指令94/62/EC 附录A（规范性附录）给出了包装材料和所有的包装允许的最大元素含量的规定，</w:t>
      </w:r>
      <w:r w:rsidRPr="00781171">
        <w:rPr>
          <w:rFonts w:ascii="宋体" w:hAnsi="宋体" w:cs="宋体"/>
          <w:kern w:val="0"/>
          <w:sz w:val="24"/>
        </w:rPr>
        <w:lastRenderedPageBreak/>
        <w:t>并且要求受检物质的重量按50%的残存无机矿物质（不可降解的）计量。详见附录17。</w:t>
      </w:r>
      <w:r w:rsidRPr="00781171">
        <w:rPr>
          <w:rFonts w:ascii="宋体" w:hAnsi="宋体" w:cs="宋体"/>
          <w:kern w:val="0"/>
          <w:sz w:val="24"/>
        </w:rPr>
        <w:br/>
        <w:t>      指令94/62/EC 主要分两部分内容，既：包装和包装废弃物含有害于环境的物质的限制以及降低资源消耗的措施。以下介绍的两个与指令94/62/EC 有关的法规，可了解该指令的效应，诠释欧洲人特称的"统一的欧洲共同市场"。</w:t>
      </w:r>
      <w:r w:rsidRPr="00781171">
        <w:rPr>
          <w:rFonts w:ascii="宋体" w:hAnsi="宋体" w:cs="宋体"/>
          <w:kern w:val="0"/>
          <w:sz w:val="24"/>
        </w:rPr>
        <w:br/>
        <w:t xml:space="preserve">      特别提醒：指令94/62/EC 第十一款规定的有害重金属含量最大允许极限为100 mg/kg，是对每件包装的基本要求，应理解为是底线的或最低的要求，但并非是唯一的要求。 </w:t>
      </w:r>
      <w:r w:rsidRPr="00781171">
        <w:rPr>
          <w:rFonts w:ascii="宋体" w:hAnsi="宋体" w:cs="宋体"/>
          <w:kern w:val="0"/>
          <w:sz w:val="24"/>
        </w:rPr>
        <w:br/>
        <w:t>1999/177/EC 关联94／62／EC 指令中规定的重金属含量，对相关的塑料箱和塑料托盘降低要求的委员会决定</w:t>
      </w:r>
      <w:r w:rsidRPr="00781171">
        <w:rPr>
          <w:rFonts w:ascii="宋体" w:hAnsi="宋体" w:cs="宋体"/>
          <w:kern w:val="0"/>
          <w:sz w:val="24"/>
        </w:rPr>
        <w:br/>
        <w:t>        指令94/62/EC 实施后，针对某些产品的可重复使用和可循环再生的特点，即放宽重金属含量限制，同时采取了相应的技术措施。</w:t>
      </w:r>
      <w:r w:rsidRPr="00781171">
        <w:rPr>
          <w:rFonts w:ascii="宋体" w:hAnsi="宋体" w:cs="宋体"/>
          <w:kern w:val="0"/>
          <w:sz w:val="24"/>
        </w:rPr>
        <w:br/>
        <w:t>      在欧盟指令和有关的技术文献中首先倡导重复使用（减少废弃物），其次是可循环再生（资源回收），再次是可回收利用（能源回收）。塑料包装容器符合以上几个方面的要求。况且，塑料源于石油、天然气和煤，即使一次性的使用，然后焚烧，作为能源回收也被认为是可接受的。</w:t>
      </w:r>
      <w:r w:rsidRPr="00781171">
        <w:rPr>
          <w:rFonts w:ascii="宋体" w:hAnsi="宋体" w:cs="宋体"/>
          <w:kern w:val="0"/>
          <w:sz w:val="24"/>
        </w:rPr>
        <w:br/>
        <w:t>      在欧盟，由于广泛采用大型焚烧炉处理垃圾，致使塑料包装材料的使用呈现增长的趋势。</w:t>
      </w:r>
    </w:p>
    <w:p w:rsidR="00781171" w:rsidRPr="00781171" w:rsidRDefault="00781171" w:rsidP="00781171">
      <w:pPr>
        <w:widowControl/>
        <w:ind w:left="0"/>
        <w:jc w:val="left"/>
        <w:rPr>
          <w:rFonts w:ascii="宋体" w:hAnsi="宋体" w:cs="宋体"/>
          <w:kern w:val="0"/>
          <w:sz w:val="24"/>
        </w:rPr>
      </w:pPr>
      <w:r w:rsidRPr="00781171">
        <w:rPr>
          <w:rFonts w:ascii="宋体" w:hAnsi="宋体" w:cs="宋体"/>
          <w:kern w:val="0"/>
          <w:sz w:val="24"/>
        </w:rPr>
        <w:t>常见的有害物质及其危害</w:t>
      </w:r>
      <w:r w:rsidRPr="00781171">
        <w:rPr>
          <w:rFonts w:ascii="宋体" w:hAnsi="宋体" w:cs="宋体"/>
          <w:kern w:val="0"/>
          <w:sz w:val="24"/>
        </w:rPr>
        <w:br/>
        <w:t>ＶＯＣ（挥发性有机化合物）：</w:t>
      </w:r>
      <w:r w:rsidRPr="00781171">
        <w:rPr>
          <w:rFonts w:ascii="宋体" w:hAnsi="宋体" w:cs="宋体"/>
          <w:kern w:val="0"/>
          <w:sz w:val="24"/>
        </w:rPr>
        <w:br/>
        <w:t>指在与涂料产品接触的大气的正常温度和压力下能自行蒸发的任何有机液体或固体，通常将涂料产品中正常压力下沸点不大于250℃的任何有机化合物都定义为挥发性有机化合物（ＶＯＣ）。在美国的某些政府法规中，ＶＯＣ仅用来指那些在大气中具有光化学活性的在机化合物，任何其它的不参与大气中光化学反应的有机化合物都被定义为豁免化合物。</w:t>
      </w:r>
      <w:r w:rsidRPr="00781171">
        <w:rPr>
          <w:rFonts w:ascii="宋体" w:hAnsi="宋体" w:cs="宋体"/>
          <w:kern w:val="0"/>
          <w:sz w:val="24"/>
        </w:rPr>
        <w:br/>
        <w:t>ＶＯＣ的主要危害是参与大气中的光化学反应，降低臭氧层。</w:t>
      </w:r>
      <w:r w:rsidRPr="00781171">
        <w:rPr>
          <w:rFonts w:ascii="宋体" w:hAnsi="宋体" w:cs="宋体"/>
          <w:kern w:val="0"/>
          <w:sz w:val="24"/>
        </w:rPr>
        <w:br/>
        <w:t>VOC对人体的影响有三种类型：气味和感官效应；粘膜刺激和其它系统毒性导致的病态；某些挥发性有机发合物被证明是致癌物或可疑致癌物。</w:t>
      </w:r>
      <w:r w:rsidRPr="00781171">
        <w:rPr>
          <w:rFonts w:ascii="宋体" w:hAnsi="宋体" w:cs="宋体"/>
          <w:kern w:val="0"/>
          <w:sz w:val="24"/>
        </w:rPr>
        <w:br/>
        <w:t>日本研究表明，装修完2个月后室内VOC浓度为室外的5.9~13.5倍，8个月后已显著降低，与室外基本接近。</w:t>
      </w:r>
      <w:r w:rsidRPr="00781171">
        <w:rPr>
          <w:rFonts w:ascii="宋体" w:hAnsi="宋体" w:cs="宋体"/>
          <w:kern w:val="0"/>
          <w:sz w:val="24"/>
        </w:rPr>
        <w:br/>
        <w:t>现代研究表明：VOC浓度小于0.2mg/m3时不会产生刺激反应，人体感到舒适；而大于3mg/m3时就会出现某此些症状，3~25mg/m3可导致头痛和其它神经中毒作用，人体感到不舒适；大于25mg/m3呈毒性反应。</w:t>
      </w:r>
      <w:r w:rsidRPr="00781171">
        <w:rPr>
          <w:rFonts w:ascii="宋体" w:hAnsi="宋体" w:cs="宋体"/>
          <w:kern w:val="0"/>
          <w:sz w:val="24"/>
        </w:rPr>
        <w:br/>
      </w:r>
      <w:r w:rsidRPr="00781171">
        <w:rPr>
          <w:rFonts w:ascii="宋体" w:hAnsi="宋体" w:cs="宋体"/>
          <w:kern w:val="0"/>
          <w:sz w:val="24"/>
        </w:rPr>
        <w:br/>
        <w:t>甲苯二异氰酸脂（ＴＤＩ） ：</w:t>
      </w:r>
      <w:r w:rsidRPr="00781171">
        <w:rPr>
          <w:rFonts w:ascii="宋体" w:hAnsi="宋体" w:cs="宋体"/>
          <w:kern w:val="0"/>
          <w:sz w:val="24"/>
        </w:rPr>
        <w:br/>
        <w:t>剧毒物质，对皮肤、眼睛和粘膜有强烈刺激作用。用于制作固化剂，高的游离ＴＤＩ才有剧毒。</w:t>
      </w:r>
      <w:r w:rsidRPr="00781171">
        <w:rPr>
          <w:rFonts w:ascii="宋体" w:hAnsi="宋体" w:cs="宋体"/>
          <w:kern w:val="0"/>
          <w:sz w:val="24"/>
        </w:rPr>
        <w:br/>
      </w:r>
      <w:r w:rsidRPr="00781171">
        <w:rPr>
          <w:rFonts w:ascii="宋体" w:hAnsi="宋体" w:cs="宋体"/>
          <w:kern w:val="0"/>
          <w:sz w:val="24"/>
        </w:rPr>
        <w:br/>
        <w:t>甲醛 ：</w:t>
      </w:r>
      <w:r w:rsidRPr="00781171">
        <w:rPr>
          <w:rFonts w:ascii="宋体" w:hAnsi="宋体" w:cs="宋体"/>
          <w:kern w:val="0"/>
          <w:sz w:val="24"/>
        </w:rPr>
        <w:br/>
        <w:t>毒性较高，对蛋白质有很强的凝固作用，能和核酸的氨基及羟基结合使其变性，能阻碍胃酶和胰酶的作用，因而会影响代谢机能，其蒸气对啮齿动物有致癌作用。</w:t>
      </w:r>
      <w:r w:rsidRPr="00781171">
        <w:rPr>
          <w:rFonts w:ascii="宋体" w:hAnsi="宋体" w:cs="宋体"/>
          <w:kern w:val="0"/>
          <w:sz w:val="24"/>
        </w:rPr>
        <w:br/>
      </w:r>
      <w:r w:rsidRPr="00781171">
        <w:rPr>
          <w:rFonts w:ascii="宋体" w:hAnsi="宋体" w:cs="宋体"/>
          <w:kern w:val="0"/>
          <w:sz w:val="24"/>
        </w:rPr>
        <w:br/>
        <w:t>苯：</w:t>
      </w:r>
      <w:r w:rsidRPr="00781171">
        <w:rPr>
          <w:rFonts w:ascii="宋体" w:hAnsi="宋体" w:cs="宋体"/>
          <w:kern w:val="0"/>
          <w:sz w:val="24"/>
        </w:rPr>
        <w:br/>
        <w:t>苯的蒸气对人有强烈的毒性，急性中毒时出现酒醉状态、眩晕、瞳孔放大、网膜出血、体温和血压下降、脉博微弱，终因呼吸麻痹、痉挛而死亡。慢性中毒时能使造血功能发生障碍，引发恶性贫血、白血球减少、疲劳、头痛、恶心、呕吐、食欲减退等症状。</w:t>
      </w:r>
      <w:r w:rsidRPr="00781171">
        <w:rPr>
          <w:rFonts w:ascii="宋体" w:hAnsi="宋体" w:cs="宋体"/>
          <w:kern w:val="0"/>
          <w:sz w:val="24"/>
        </w:rPr>
        <w:br/>
        <w:t>液体苯有脱脂作用，可被皮肤吸收而中毒，故应避免与皮肤接触。</w:t>
      </w:r>
      <w:r w:rsidRPr="00781171">
        <w:rPr>
          <w:rFonts w:ascii="宋体" w:hAnsi="宋体" w:cs="宋体"/>
          <w:kern w:val="0"/>
          <w:sz w:val="24"/>
        </w:rPr>
        <w:br/>
      </w:r>
      <w:r w:rsidRPr="00781171">
        <w:rPr>
          <w:rFonts w:ascii="宋体" w:hAnsi="宋体" w:cs="宋体"/>
          <w:kern w:val="0"/>
          <w:sz w:val="24"/>
        </w:rPr>
        <w:br/>
        <w:t>甲苯：</w:t>
      </w:r>
      <w:r w:rsidRPr="00781171">
        <w:rPr>
          <w:rFonts w:ascii="宋体" w:hAnsi="宋体" w:cs="宋体"/>
          <w:kern w:val="0"/>
          <w:sz w:val="24"/>
        </w:rPr>
        <w:br/>
        <w:t>属低毒类、百**作用，对皮肤有刺激作用，可经皮肤吸收，应避免与皮肤接触。</w:t>
      </w:r>
      <w:r w:rsidRPr="00781171">
        <w:rPr>
          <w:rFonts w:ascii="宋体" w:hAnsi="宋体" w:cs="宋体"/>
          <w:kern w:val="0"/>
          <w:sz w:val="24"/>
        </w:rPr>
        <w:br/>
      </w:r>
      <w:r w:rsidRPr="00781171">
        <w:rPr>
          <w:rFonts w:ascii="宋体" w:hAnsi="宋体" w:cs="宋体"/>
          <w:kern w:val="0"/>
          <w:sz w:val="24"/>
        </w:rPr>
        <w:lastRenderedPageBreak/>
        <w:br/>
        <w:t>二甲苯；</w:t>
      </w:r>
      <w:r w:rsidRPr="00781171">
        <w:rPr>
          <w:rFonts w:ascii="宋体" w:hAnsi="宋体" w:cs="宋体"/>
          <w:kern w:val="0"/>
          <w:sz w:val="24"/>
        </w:rPr>
        <w:br/>
        <w:t>属低毒类，对人体毒性比苯、甲苯小，有兴奋、**作用，损害粘膜，刺激呼吸道。</w:t>
      </w:r>
      <w:r w:rsidRPr="00781171">
        <w:rPr>
          <w:rFonts w:ascii="宋体" w:hAnsi="宋体" w:cs="宋体"/>
          <w:kern w:val="0"/>
          <w:sz w:val="24"/>
        </w:rPr>
        <w:br/>
      </w:r>
      <w:r w:rsidRPr="00781171">
        <w:rPr>
          <w:rFonts w:ascii="宋体" w:hAnsi="宋体" w:cs="宋体"/>
          <w:kern w:val="0"/>
          <w:sz w:val="24"/>
        </w:rPr>
        <w:br/>
        <w:t>重金属;</w:t>
      </w:r>
      <w:r w:rsidRPr="00781171">
        <w:rPr>
          <w:rFonts w:ascii="宋体" w:hAnsi="宋体" w:cs="宋体"/>
          <w:kern w:val="0"/>
          <w:sz w:val="24"/>
        </w:rPr>
        <w:br/>
        <w:t>包括可溶性铅、镉、铬、汞等。</w:t>
      </w:r>
      <w:r w:rsidRPr="00781171">
        <w:rPr>
          <w:rFonts w:ascii="宋体" w:hAnsi="宋体" w:cs="宋体"/>
          <w:kern w:val="0"/>
          <w:sz w:val="24"/>
        </w:rPr>
        <w:br/>
        <w:t>某些痕量重金属在一定浓度内是人体必需的微量元素，但进入人体的量超过人体所能耐受的限度后，即可造成严重的生理损害，引发多种疾病。</w:t>
      </w:r>
      <w:r w:rsidRPr="00781171">
        <w:rPr>
          <w:rFonts w:ascii="宋体" w:hAnsi="宋体" w:cs="宋体"/>
          <w:kern w:val="0"/>
          <w:sz w:val="24"/>
        </w:rPr>
        <w:br/>
        <w:t>铅中毒对儿童更为严重，儿童对铅有特殊的易感性。</w:t>
      </w:r>
      <w:r w:rsidRPr="00781171">
        <w:rPr>
          <w:rFonts w:ascii="宋体" w:hAnsi="宋体" w:cs="宋体"/>
          <w:kern w:val="0"/>
          <w:sz w:val="24"/>
        </w:rPr>
        <w:br/>
        <w:t>美国联邦法规CFR1303规定铅含量大于600mg/KG为含铅涂料，禁止在公共场所或室内装饰用。</w:t>
      </w:r>
      <w:r w:rsidRPr="00781171">
        <w:rPr>
          <w:rFonts w:ascii="宋体" w:hAnsi="宋体" w:cs="宋体"/>
          <w:kern w:val="0"/>
          <w:sz w:val="24"/>
        </w:rPr>
        <w:br/>
      </w:r>
      <w:r w:rsidRPr="00781171">
        <w:rPr>
          <w:rFonts w:ascii="宋体" w:hAnsi="宋体" w:cs="宋体"/>
          <w:kern w:val="0"/>
          <w:sz w:val="24"/>
        </w:rPr>
        <w:br/>
        <w:t>乙二醇醚类溶剂:</w:t>
      </w:r>
      <w:r w:rsidRPr="00781171">
        <w:rPr>
          <w:rFonts w:ascii="宋体" w:hAnsi="宋体" w:cs="宋体"/>
          <w:kern w:val="0"/>
          <w:sz w:val="24"/>
        </w:rPr>
        <w:br/>
        <w:t>致癌物质，对人体生殖机能有影响。</w:t>
      </w:r>
    </w:p>
    <w:p w:rsidR="00781171" w:rsidRPr="00781171" w:rsidRDefault="00781171" w:rsidP="00781171">
      <w:pPr>
        <w:widowControl/>
        <w:ind w:left="0"/>
        <w:jc w:val="left"/>
        <w:rPr>
          <w:rFonts w:ascii="宋体" w:hAnsi="宋体" w:cs="宋体"/>
          <w:kern w:val="0"/>
          <w:sz w:val="24"/>
        </w:rPr>
      </w:pPr>
      <w:r w:rsidRPr="00781171">
        <w:rPr>
          <w:rFonts w:ascii="宋体" w:hAnsi="宋体" w:cs="宋体"/>
          <w:kern w:val="0"/>
          <w:sz w:val="24"/>
        </w:rPr>
        <w:t>欧盟包材指令94-62-EC的修正2005-20-EC 94/62/EC(包装指令)已经更新成2005/20/EC,但是化学测试项目和限值没有变改!</w:t>
      </w:r>
    </w:p>
    <w:p w:rsidR="0039781F" w:rsidRPr="00781171" w:rsidRDefault="0039781F"/>
    <w:sectPr w:rsidR="0039781F" w:rsidRPr="00781171"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171"/>
    <w:rsid w:val="002B7065"/>
    <w:rsid w:val="00306A9E"/>
    <w:rsid w:val="0039781F"/>
    <w:rsid w:val="003B1FC0"/>
    <w:rsid w:val="006067ED"/>
    <w:rsid w:val="00781171"/>
    <w:rsid w:val="008A45D7"/>
    <w:rsid w:val="00946473"/>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lef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pPr>
    <w:rPr>
      <w:kern w:val="2"/>
      <w:sz w:val="21"/>
      <w:szCs w:val="24"/>
    </w:rPr>
  </w:style>
  <w:style w:type="paragraph" w:styleId="1">
    <w:name w:val="heading 1"/>
    <w:basedOn w:val="a"/>
    <w:next w:val="a"/>
    <w:link w:val="1Char"/>
    <w:uiPriority w:val="9"/>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character" w:customStyle="1" w:styleId="linkc">
    <w:name w:val="link_c"/>
    <w:basedOn w:val="a0"/>
    <w:rsid w:val="00781171"/>
  </w:style>
  <w:style w:type="character" w:styleId="a3">
    <w:name w:val="Hyperlink"/>
    <w:basedOn w:val="a0"/>
    <w:uiPriority w:val="99"/>
    <w:semiHidden/>
    <w:unhideWhenUsed/>
    <w:rsid w:val="00781171"/>
    <w:rPr>
      <w:color w:val="0000FF"/>
      <w:u w:val="single"/>
    </w:rPr>
  </w:style>
  <w:style w:type="paragraph" w:styleId="a4">
    <w:name w:val="Balloon Text"/>
    <w:basedOn w:val="a"/>
    <w:link w:val="Char"/>
    <w:uiPriority w:val="99"/>
    <w:semiHidden/>
    <w:unhideWhenUsed/>
    <w:rsid w:val="00781171"/>
    <w:rPr>
      <w:sz w:val="18"/>
      <w:szCs w:val="18"/>
    </w:rPr>
  </w:style>
  <w:style w:type="character" w:customStyle="1" w:styleId="Char">
    <w:name w:val="批注框文本 Char"/>
    <w:basedOn w:val="a0"/>
    <w:link w:val="a4"/>
    <w:uiPriority w:val="99"/>
    <w:semiHidden/>
    <w:rsid w:val="00781171"/>
    <w:rPr>
      <w:kern w:val="2"/>
      <w:sz w:val="18"/>
      <w:szCs w:val="18"/>
    </w:rPr>
  </w:style>
</w:styles>
</file>

<file path=word/webSettings.xml><?xml version="1.0" encoding="utf-8"?>
<w:webSettings xmlns:r="http://schemas.openxmlformats.org/officeDocument/2006/relationships" xmlns:w="http://schemas.openxmlformats.org/wordprocessingml/2006/main">
  <w:divs>
    <w:div w:id="1578587594">
      <w:bodyDiv w:val="1"/>
      <w:marLeft w:val="0"/>
      <w:marRight w:val="0"/>
      <w:marTop w:val="0"/>
      <w:marBottom w:val="0"/>
      <w:divBdr>
        <w:top w:val="none" w:sz="0" w:space="0" w:color="auto"/>
        <w:left w:val="none" w:sz="0" w:space="0" w:color="auto"/>
        <w:bottom w:val="none" w:sz="0" w:space="0" w:color="auto"/>
        <w:right w:val="none" w:sz="0" w:space="0" w:color="auto"/>
      </w:divBdr>
      <w:divsChild>
        <w:div w:id="1757247022">
          <w:marLeft w:val="0"/>
          <w:marRight w:val="0"/>
          <w:marTop w:val="0"/>
          <w:marBottom w:val="0"/>
          <w:divBdr>
            <w:top w:val="none" w:sz="0" w:space="0" w:color="auto"/>
            <w:left w:val="none" w:sz="0" w:space="0" w:color="auto"/>
            <w:bottom w:val="none" w:sz="0" w:space="0" w:color="auto"/>
            <w:right w:val="none" w:sz="0" w:space="0" w:color="auto"/>
          </w:divBdr>
          <w:divsChild>
            <w:div w:id="1864435829">
              <w:marLeft w:val="0"/>
              <w:marRight w:val="0"/>
              <w:marTop w:val="0"/>
              <w:marBottom w:val="0"/>
              <w:divBdr>
                <w:top w:val="none" w:sz="0" w:space="0" w:color="auto"/>
                <w:left w:val="none" w:sz="0" w:space="0" w:color="auto"/>
                <w:bottom w:val="none" w:sz="0" w:space="0" w:color="auto"/>
                <w:right w:val="none" w:sz="0" w:space="0" w:color="auto"/>
              </w:divBdr>
              <w:divsChild>
                <w:div w:id="1769890662">
                  <w:marLeft w:val="0"/>
                  <w:marRight w:val="0"/>
                  <w:marTop w:val="0"/>
                  <w:marBottom w:val="0"/>
                  <w:divBdr>
                    <w:top w:val="none" w:sz="0" w:space="0" w:color="auto"/>
                    <w:left w:val="none" w:sz="0" w:space="0" w:color="auto"/>
                    <w:bottom w:val="none" w:sz="0" w:space="0" w:color="auto"/>
                    <w:right w:val="none" w:sz="0" w:space="0" w:color="auto"/>
                  </w:divBdr>
                  <w:divsChild>
                    <w:div w:id="1159539441">
                      <w:marLeft w:val="0"/>
                      <w:marRight w:val="0"/>
                      <w:marTop w:val="0"/>
                      <w:marBottom w:val="0"/>
                      <w:divBdr>
                        <w:top w:val="none" w:sz="0" w:space="0" w:color="auto"/>
                        <w:left w:val="none" w:sz="0" w:space="0" w:color="auto"/>
                        <w:bottom w:val="none" w:sz="0" w:space="0" w:color="auto"/>
                        <w:right w:val="none" w:sz="0" w:space="0" w:color="auto"/>
                      </w:divBdr>
                      <w:divsChild>
                        <w:div w:id="1459494516">
                          <w:marLeft w:val="0"/>
                          <w:marRight w:val="0"/>
                          <w:marTop w:val="0"/>
                          <w:marBottom w:val="0"/>
                          <w:divBdr>
                            <w:top w:val="none" w:sz="0" w:space="0" w:color="auto"/>
                            <w:left w:val="none" w:sz="0" w:space="0" w:color="auto"/>
                            <w:bottom w:val="none" w:sz="0" w:space="0" w:color="auto"/>
                            <w:right w:val="none" w:sz="0" w:space="0" w:color="auto"/>
                          </w:divBdr>
                          <w:divsChild>
                            <w:div w:id="883491092">
                              <w:marLeft w:val="0"/>
                              <w:marRight w:val="0"/>
                              <w:marTop w:val="0"/>
                              <w:marBottom w:val="0"/>
                              <w:divBdr>
                                <w:top w:val="none" w:sz="0" w:space="0" w:color="auto"/>
                                <w:left w:val="none" w:sz="0" w:space="0" w:color="auto"/>
                                <w:bottom w:val="none" w:sz="0" w:space="0" w:color="auto"/>
                                <w:right w:val="none" w:sz="0" w:space="0" w:color="auto"/>
                              </w:divBdr>
                            </w:div>
                          </w:divsChild>
                        </w:div>
                        <w:div w:id="1476752719">
                          <w:marLeft w:val="0"/>
                          <w:marRight w:val="0"/>
                          <w:marTop w:val="0"/>
                          <w:marBottom w:val="0"/>
                          <w:divBdr>
                            <w:top w:val="none" w:sz="0" w:space="0" w:color="auto"/>
                            <w:left w:val="none" w:sz="0" w:space="0" w:color="auto"/>
                            <w:bottom w:val="none" w:sz="0" w:space="0" w:color="auto"/>
                            <w:right w:val="none" w:sz="0" w:space="0" w:color="auto"/>
                          </w:divBdr>
                        </w:div>
                        <w:div w:id="299500456">
                          <w:marLeft w:val="0"/>
                          <w:marRight w:val="0"/>
                          <w:marTop w:val="0"/>
                          <w:marBottom w:val="0"/>
                          <w:divBdr>
                            <w:top w:val="none" w:sz="0" w:space="0" w:color="auto"/>
                            <w:left w:val="none" w:sz="0" w:space="0" w:color="auto"/>
                            <w:bottom w:val="none" w:sz="0" w:space="0" w:color="auto"/>
                            <w:right w:val="none" w:sz="0" w:space="0" w:color="auto"/>
                          </w:divBdr>
                          <w:divsChild>
                            <w:div w:id="363218249">
                              <w:marLeft w:val="0"/>
                              <w:marRight w:val="0"/>
                              <w:marTop w:val="0"/>
                              <w:marBottom w:val="0"/>
                              <w:divBdr>
                                <w:top w:val="none" w:sz="0" w:space="0" w:color="auto"/>
                                <w:left w:val="none" w:sz="0" w:space="0" w:color="auto"/>
                                <w:bottom w:val="none" w:sz="0" w:space="0" w:color="auto"/>
                                <w:right w:val="none" w:sz="0" w:space="0" w:color="auto"/>
                              </w:divBdr>
                            </w:div>
                            <w:div w:id="1316102080">
                              <w:marLeft w:val="0"/>
                              <w:marRight w:val="0"/>
                              <w:marTop w:val="0"/>
                              <w:marBottom w:val="0"/>
                              <w:divBdr>
                                <w:top w:val="none" w:sz="0" w:space="0" w:color="auto"/>
                                <w:left w:val="none" w:sz="0" w:space="0" w:color="auto"/>
                                <w:bottom w:val="none" w:sz="0" w:space="0" w:color="auto"/>
                                <w:right w:val="none" w:sz="0" w:space="0" w:color="auto"/>
                              </w:divBdr>
                              <w:divsChild>
                                <w:div w:id="466164007">
                                  <w:marLeft w:val="0"/>
                                  <w:marRight w:val="0"/>
                                  <w:marTop w:val="0"/>
                                  <w:marBottom w:val="0"/>
                                  <w:divBdr>
                                    <w:top w:val="none" w:sz="0" w:space="0" w:color="auto"/>
                                    <w:left w:val="none" w:sz="0" w:space="0" w:color="auto"/>
                                    <w:bottom w:val="none" w:sz="0" w:space="0" w:color="auto"/>
                                    <w:right w:val="none" w:sz="0" w:space="0" w:color="auto"/>
                                  </w:divBdr>
                                </w:div>
                                <w:div w:id="2129735015">
                                  <w:marLeft w:val="0"/>
                                  <w:marRight w:val="0"/>
                                  <w:marTop w:val="0"/>
                                  <w:marBottom w:val="0"/>
                                  <w:divBdr>
                                    <w:top w:val="none" w:sz="0" w:space="0" w:color="auto"/>
                                    <w:left w:val="none" w:sz="0" w:space="0" w:color="auto"/>
                                    <w:bottom w:val="none" w:sz="0" w:space="0" w:color="auto"/>
                                    <w:right w:val="none" w:sz="0" w:space="0" w:color="auto"/>
                                  </w:divBdr>
                                  <w:divsChild>
                                    <w:div w:id="259726811">
                                      <w:marLeft w:val="0"/>
                                      <w:marRight w:val="0"/>
                                      <w:marTop w:val="0"/>
                                      <w:marBottom w:val="0"/>
                                      <w:divBdr>
                                        <w:top w:val="none" w:sz="0" w:space="0" w:color="auto"/>
                                        <w:left w:val="none" w:sz="0" w:space="0" w:color="auto"/>
                                        <w:bottom w:val="none" w:sz="0" w:space="0" w:color="auto"/>
                                        <w:right w:val="none" w:sz="0" w:space="0" w:color="auto"/>
                                      </w:divBdr>
                                    </w:div>
                                    <w:div w:id="189610502">
                                      <w:marLeft w:val="0"/>
                                      <w:marRight w:val="0"/>
                                      <w:marTop w:val="0"/>
                                      <w:marBottom w:val="0"/>
                                      <w:divBdr>
                                        <w:top w:val="none" w:sz="0" w:space="0" w:color="auto"/>
                                        <w:left w:val="none" w:sz="0" w:space="0" w:color="auto"/>
                                        <w:bottom w:val="none" w:sz="0" w:space="0" w:color="auto"/>
                                        <w:right w:val="none" w:sz="0" w:space="0" w:color="auto"/>
                                      </w:divBdr>
                                      <w:divsChild>
                                        <w:div w:id="17301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ofile.1688.com/article/i19156624.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 TargetMode="External"/><Relationship Id="rId5" Type="http://schemas.openxmlformats.org/officeDocument/2006/relationships/hyperlink" Target="http://blog.1688.com/bizblog/bookmark/add.html" TargetMode="External"/><Relationship Id="rId10" Type="http://schemas.openxmlformats.org/officeDocument/2006/relationships/hyperlink" Target="javascript:;" TargetMode="External"/><Relationship Id="rId4" Type="http://schemas.openxmlformats.org/officeDocument/2006/relationships/hyperlink" Target="http://blog.1688.com/blog/gzhjjx/chapter/i1105017-p1.html" TargetMode="Externa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2013-09-22T06:23:00Z</dcterms:created>
  <dcterms:modified xsi:type="dcterms:W3CDTF">2013-09-22T06:24:00Z</dcterms:modified>
</cp:coreProperties>
</file>